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679" w:rsidRDefault="00FD052A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南京审计大学巾帼建功标兵推荐表</w:t>
      </w:r>
    </w:p>
    <w:p w:rsidR="00033679" w:rsidRDefault="00033679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298"/>
        <w:gridCol w:w="1134"/>
        <w:gridCol w:w="2131"/>
        <w:gridCol w:w="1698"/>
        <w:gridCol w:w="2819"/>
      </w:tblGrid>
      <w:tr w:rsidR="00033679">
        <w:trPr>
          <w:jc w:val="center"/>
        </w:trPr>
        <w:tc>
          <w:tcPr>
            <w:tcW w:w="1490" w:type="dxa"/>
            <w:gridSpan w:val="2"/>
            <w:vAlign w:val="center"/>
          </w:tcPr>
          <w:p w:rsidR="00033679" w:rsidRDefault="00FD052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所在部门</w:t>
            </w:r>
          </w:p>
        </w:tc>
        <w:tc>
          <w:tcPr>
            <w:tcW w:w="3265" w:type="dxa"/>
            <w:gridSpan w:val="2"/>
            <w:vAlign w:val="center"/>
          </w:tcPr>
          <w:p w:rsidR="00033679" w:rsidRDefault="00FD052A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统计与数据科学学院</w:t>
            </w:r>
          </w:p>
        </w:tc>
        <w:tc>
          <w:tcPr>
            <w:tcW w:w="1698" w:type="dxa"/>
            <w:vAlign w:val="center"/>
          </w:tcPr>
          <w:p w:rsidR="00033679" w:rsidRDefault="00FD052A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819" w:type="dxa"/>
            <w:vAlign w:val="center"/>
          </w:tcPr>
          <w:p w:rsidR="00033679" w:rsidRDefault="00FD052A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统计与数据科学学院</w:t>
            </w:r>
          </w:p>
        </w:tc>
      </w:tr>
      <w:tr w:rsidR="00033679">
        <w:trPr>
          <w:jc w:val="center"/>
        </w:trPr>
        <w:tc>
          <w:tcPr>
            <w:tcW w:w="1490" w:type="dxa"/>
            <w:gridSpan w:val="2"/>
            <w:vAlign w:val="center"/>
          </w:tcPr>
          <w:p w:rsidR="00033679" w:rsidRDefault="00FD052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3265" w:type="dxa"/>
            <w:gridSpan w:val="2"/>
            <w:vAlign w:val="center"/>
          </w:tcPr>
          <w:p w:rsidR="00033679" w:rsidRDefault="00FD052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黄性芳</w:t>
            </w:r>
          </w:p>
        </w:tc>
        <w:tc>
          <w:tcPr>
            <w:tcW w:w="1698" w:type="dxa"/>
            <w:vAlign w:val="center"/>
          </w:tcPr>
          <w:p w:rsidR="00033679" w:rsidRDefault="00FD052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族</w:t>
            </w:r>
          </w:p>
        </w:tc>
        <w:tc>
          <w:tcPr>
            <w:tcW w:w="2819" w:type="dxa"/>
            <w:vAlign w:val="center"/>
          </w:tcPr>
          <w:p w:rsidR="00033679" w:rsidRDefault="00FD052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汉</w:t>
            </w:r>
          </w:p>
        </w:tc>
      </w:tr>
      <w:tr w:rsidR="00033679">
        <w:trPr>
          <w:jc w:val="center"/>
        </w:trPr>
        <w:tc>
          <w:tcPr>
            <w:tcW w:w="1490" w:type="dxa"/>
            <w:gridSpan w:val="2"/>
            <w:vAlign w:val="center"/>
          </w:tcPr>
          <w:p w:rsidR="00033679" w:rsidRDefault="00FD052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3265" w:type="dxa"/>
            <w:gridSpan w:val="2"/>
            <w:vAlign w:val="center"/>
          </w:tcPr>
          <w:p w:rsidR="00033679" w:rsidRDefault="00FD052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1980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11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</w:p>
        </w:tc>
        <w:tc>
          <w:tcPr>
            <w:tcW w:w="1698" w:type="dxa"/>
            <w:vAlign w:val="center"/>
          </w:tcPr>
          <w:p w:rsidR="00033679" w:rsidRDefault="00FD052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819" w:type="dxa"/>
            <w:vAlign w:val="center"/>
          </w:tcPr>
          <w:p w:rsidR="00033679" w:rsidRDefault="00FD052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中共党员</w:t>
            </w:r>
          </w:p>
        </w:tc>
      </w:tr>
      <w:tr w:rsidR="00033679">
        <w:trPr>
          <w:jc w:val="center"/>
        </w:trPr>
        <w:tc>
          <w:tcPr>
            <w:tcW w:w="1490" w:type="dxa"/>
            <w:gridSpan w:val="2"/>
            <w:vAlign w:val="center"/>
          </w:tcPr>
          <w:p w:rsidR="00033679" w:rsidRDefault="00FD052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3265" w:type="dxa"/>
            <w:gridSpan w:val="2"/>
            <w:vAlign w:val="center"/>
          </w:tcPr>
          <w:p w:rsidR="00033679" w:rsidRDefault="00FD052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博士</w:t>
            </w:r>
          </w:p>
        </w:tc>
        <w:tc>
          <w:tcPr>
            <w:tcW w:w="1698" w:type="dxa"/>
            <w:vAlign w:val="center"/>
          </w:tcPr>
          <w:p w:rsidR="00033679" w:rsidRDefault="00FD052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819" w:type="dxa"/>
            <w:vAlign w:val="center"/>
          </w:tcPr>
          <w:p w:rsidR="00033679" w:rsidRDefault="00FD052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18901588091</w:t>
            </w:r>
          </w:p>
        </w:tc>
      </w:tr>
      <w:tr w:rsidR="00033679">
        <w:trPr>
          <w:jc w:val="center"/>
        </w:trPr>
        <w:tc>
          <w:tcPr>
            <w:tcW w:w="2624" w:type="dxa"/>
            <w:gridSpan w:val="3"/>
            <w:vAlign w:val="center"/>
          </w:tcPr>
          <w:p w:rsidR="00033679" w:rsidRDefault="00FD052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6648" w:type="dxa"/>
            <w:gridSpan w:val="3"/>
            <w:vAlign w:val="center"/>
          </w:tcPr>
          <w:p w:rsidR="00033679" w:rsidRDefault="00FD052A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系主任</w:t>
            </w:r>
          </w:p>
        </w:tc>
      </w:tr>
      <w:tr w:rsidR="00033679">
        <w:trPr>
          <w:jc w:val="center"/>
        </w:trPr>
        <w:tc>
          <w:tcPr>
            <w:tcW w:w="2624" w:type="dxa"/>
            <w:gridSpan w:val="3"/>
            <w:vAlign w:val="center"/>
          </w:tcPr>
          <w:p w:rsidR="00033679" w:rsidRDefault="00FD052A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648" w:type="dxa"/>
            <w:gridSpan w:val="3"/>
            <w:vAlign w:val="center"/>
          </w:tcPr>
          <w:p w:rsidR="00033679" w:rsidRDefault="00FD052A">
            <w:pPr>
              <w:spacing w:beforeLines="50" w:before="156" w:line="380" w:lineRule="exac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2022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年获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第十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二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届全国大学生市场调查与分析大赛总决赛优秀指导教师，指导学生获得全国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一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项，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二等奖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项，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三等奖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项，省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一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项，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全国大学生统计建模大赛全国三等奖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1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项</w:t>
            </w:r>
          </w:p>
          <w:p w:rsidR="00033679" w:rsidRDefault="00FD052A">
            <w:pPr>
              <w:spacing w:beforeLines="50" w:before="156" w:line="380" w:lineRule="exac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021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获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第十一届全国大学生市场调查与分析大赛总决赛优秀指导教师，指导学生获得全国二等奖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项，三等奖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项，省二等奖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、三等奖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项；指导本科生获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校级互联网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+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大学生创新创业大赛二等奖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项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 xml:space="preserve"> </w:t>
            </w:r>
          </w:p>
          <w:p w:rsidR="00033679" w:rsidRDefault="00FD052A">
            <w:pPr>
              <w:spacing w:beforeLines="50" w:before="156" w:line="380" w:lineRule="exac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2020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获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南京审计大学线上“南审好课堂”三等奖</w:t>
            </w:r>
          </w:p>
          <w:p w:rsidR="00033679" w:rsidRDefault="00FD052A">
            <w:pPr>
              <w:spacing w:beforeLines="50" w:before="156" w:line="380" w:lineRule="exac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2019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获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南京审计大学</w:t>
            </w:r>
            <w:proofErr w:type="gramStart"/>
            <w:r>
              <w:rPr>
                <w:rFonts w:ascii="Times New Roman" w:eastAsia="仿宋" w:hAnsi="Times New Roman" w:hint="eastAsia"/>
                <w:sz w:val="24"/>
                <w:szCs w:val="24"/>
              </w:rPr>
              <w:t>第六届微课教学</w:t>
            </w:r>
            <w:proofErr w:type="gramEnd"/>
            <w:r>
              <w:rPr>
                <w:rFonts w:ascii="Times New Roman" w:eastAsia="仿宋" w:hAnsi="Times New Roman" w:hint="eastAsia"/>
                <w:sz w:val="24"/>
                <w:szCs w:val="24"/>
              </w:rPr>
              <w:t>比赛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二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等奖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 xml:space="preserve">                                 </w:t>
            </w:r>
          </w:p>
          <w:p w:rsidR="00033679" w:rsidRDefault="00FD052A">
            <w:pPr>
              <w:spacing w:beforeLines="50" w:before="156" w:line="380" w:lineRule="exac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2018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获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第十五届江苏省统计科研优秀成果奖二等奖；第十五届江苏省统计科研优秀成果奖三等奖</w:t>
            </w:r>
          </w:p>
          <w:p w:rsidR="00033679" w:rsidRDefault="00FD052A">
            <w:pPr>
              <w:spacing w:line="560" w:lineRule="exac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 w:hint="eastAsia"/>
                <w:sz w:val="24"/>
                <w:szCs w:val="24"/>
              </w:rPr>
              <w:t>2016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获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第二届全国应用统计专业学位研究生案例大赛教学成果奖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一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>等奖</w:t>
            </w:r>
          </w:p>
          <w:p w:rsidR="00413B35" w:rsidRDefault="00413B35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413B35" w:rsidRDefault="00413B35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413B35" w:rsidRDefault="00413B35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413B35" w:rsidRDefault="00413B35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413B35" w:rsidRDefault="00413B35">
            <w:pPr>
              <w:spacing w:line="5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033679" w:rsidTr="00413B35">
        <w:trPr>
          <w:trHeight w:val="4871"/>
          <w:jc w:val="center"/>
        </w:trPr>
        <w:tc>
          <w:tcPr>
            <w:tcW w:w="1192" w:type="dxa"/>
            <w:vAlign w:val="center"/>
          </w:tcPr>
          <w:p w:rsidR="00033679" w:rsidRDefault="00FD052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创</w:t>
            </w:r>
          </w:p>
          <w:p w:rsidR="00033679" w:rsidRDefault="00FD052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:rsidR="00033679" w:rsidRDefault="00FD052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:rsidR="00033679" w:rsidRDefault="00FD052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:rsidR="00033679" w:rsidRDefault="00FD052A">
            <w:pPr>
              <w:spacing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1500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至</w:t>
            </w: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8080" w:type="dxa"/>
            <w:gridSpan w:val="5"/>
          </w:tcPr>
          <w:p w:rsidR="00033679" w:rsidRPr="00413B35" w:rsidRDefault="00FD052A" w:rsidP="00413B35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sz w:val="24"/>
                <w:szCs w:val="24"/>
              </w:rPr>
              <w:t>黄性芳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，女，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理学博士、副教授、硕导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现担任南京审计大学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统计与数据科学学院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统计学系主任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。该同志坚持自觉加强党性修为，恪尽职守、竭诚奉献、辛勤工作，深入学习党的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二十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大精神和习近平新时代中国特色社会主义思想，时刻以一名党员的标准严格要求自己。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2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一、立场坚定，笃行不</w:t>
            </w:r>
            <w:proofErr w:type="gramStart"/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怠</w:t>
            </w:r>
            <w:proofErr w:type="gramEnd"/>
          </w:p>
          <w:p w:rsidR="00033679" w:rsidRPr="00413B35" w:rsidRDefault="00FD052A" w:rsidP="00413B35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sz w:val="24"/>
                <w:szCs w:val="24"/>
              </w:rPr>
              <w:t>黄性芳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同志爱党、爱国、热爱本职工作，遵纪守法，工作服从安排，遵守劳动纪律。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认真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贯彻党的基本理论、基本路线、基本方略，始终坚持四项基本原则，坚持新发展理念，认真履行党员八项义务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时刻牢记自己是一名共产党员，在平时的工作中，事事、处处、时时都以党员的条件来严格要求自己，对工作兢兢业业，勤勤恳恳，表现出强烈的事业心和高度责任感。积极参加党组织的各项活动，开展批评与自我批评，认真学习贯彻党的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二十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大报告精神，自信自强、守正创新、</w:t>
            </w:r>
            <w:proofErr w:type="gramStart"/>
            <w:r w:rsidRPr="00413B35">
              <w:rPr>
                <w:rFonts w:ascii="宋体" w:eastAsia="宋体" w:hAnsi="宋体" w:hint="eastAsia"/>
                <w:sz w:val="24"/>
                <w:szCs w:val="24"/>
              </w:rPr>
              <w:t>踔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厉奋发、勇毅前行。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0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21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-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202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年担任统计学系教工支部书记（双带头人），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021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年统计学系教工支部获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“校先进基层党组织”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荣誉称号。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2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二、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不忘初心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，</w:t>
            </w:r>
            <w:proofErr w:type="gramStart"/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踔</w:t>
            </w:r>
            <w:proofErr w:type="gramEnd"/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厉奋发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sz w:val="24"/>
                <w:szCs w:val="24"/>
              </w:rPr>
              <w:t>黄性芳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同志积极参与学院的学科建设和专业建设，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主要参与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过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统计学本科新专业申报、统计学本科专业评估、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统计学科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博士点申报、统计学硕士点申报、应用统计专业硕士点申报、统计学科“十三五省”重点学科中期考核和验收（并在同类级学科中获得唯一“优秀”考核等级）、统计学科“十四五省”重点学科申报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经济统计学省一流专业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申报等材料撰写、搜集与整合、流程的规划等工作。全面推进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本科生培养方案修订，撰写本科生培养方案修订报告，组织完成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必修</w:t>
            </w:r>
            <w:proofErr w:type="gramStart"/>
            <w:r w:rsidRPr="00413B35">
              <w:rPr>
                <w:rFonts w:ascii="宋体" w:eastAsia="宋体" w:hAnsi="宋体" w:hint="eastAsia"/>
                <w:sz w:val="24"/>
                <w:szCs w:val="24"/>
              </w:rPr>
              <w:t>课程思政大纲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修订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等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。积极参与在我校召开的统计学科相关会议的接待、服务和相关报销工作以及来访专家的相关报销工作。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积极参加本科生招生宣传工作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2022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年统计学基层教学组织获批校级优秀基层教学组织。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2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三、立德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树人，</w:t>
            </w:r>
            <w:proofErr w:type="gramStart"/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教赛结合</w:t>
            </w:r>
            <w:proofErr w:type="gramEnd"/>
          </w:p>
          <w:p w:rsidR="00033679" w:rsidRPr="00413B35" w:rsidRDefault="00FD052A" w:rsidP="00413B35">
            <w:pPr>
              <w:spacing w:line="440" w:lineRule="exact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为</w:t>
            </w:r>
            <w:r w:rsidRPr="00413B35">
              <w:rPr>
                <w:rFonts w:ascii="宋体" w:eastAsia="宋体" w:hAnsi="宋体"/>
                <w:b/>
                <w:bCs/>
                <w:sz w:val="24"/>
                <w:szCs w:val="24"/>
              </w:rPr>
              <w:t>学生各类竞赛提供指导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指导学生获全国应用统计专业学位研究生案例大赛全国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一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等奖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项；全国大学生市场调查与分析大赛全国一等奖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项，二等奖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项，三等奖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8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项，省一等奖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项；全国大学生统计建模大赛全国三等奖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1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项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为</w:t>
            </w:r>
            <w:r w:rsidRPr="00413B35">
              <w:rPr>
                <w:rFonts w:ascii="宋体" w:eastAsia="宋体" w:hAnsi="宋体"/>
                <w:b/>
                <w:bCs/>
                <w:sz w:val="24"/>
                <w:szCs w:val="24"/>
              </w:rPr>
              <w:t>学生提供有效的学业辅导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指导大学生创新创业训练项目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项；每年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指导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4-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5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名本科毕业论文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；担任泽园书院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本科生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导师，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22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秋</w:t>
            </w:r>
            <w:proofErr w:type="gramStart"/>
            <w:r w:rsidRPr="00413B35">
              <w:rPr>
                <w:rFonts w:ascii="宋体" w:eastAsia="宋体" w:hAnsi="宋体" w:hint="eastAsia"/>
                <w:sz w:val="24"/>
                <w:szCs w:val="24"/>
              </w:rPr>
              <w:t>学期为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澄园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、润园书院做概率论与数理统计知识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讲座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；担任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2015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级经济统计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班班主任，先后召开多次班级主题班会，为书院建设添砖加瓦。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2021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2022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年秋季为大</w:t>
            </w:r>
            <w:proofErr w:type="gramStart"/>
            <w:r w:rsidRPr="00413B35">
              <w:rPr>
                <w:rFonts w:ascii="宋体" w:eastAsia="宋体" w:hAnsi="宋体" w:hint="eastAsia"/>
                <w:sz w:val="24"/>
                <w:szCs w:val="24"/>
              </w:rPr>
              <w:t>一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新生开展入学教育。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413B35">
              <w:rPr>
                <w:rFonts w:ascii="宋体" w:eastAsia="宋体" w:hAnsi="宋体"/>
                <w:b/>
                <w:bCs/>
                <w:sz w:val="24"/>
                <w:szCs w:val="24"/>
              </w:rPr>
              <w:t>为学生就业和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升学</w:t>
            </w:r>
            <w:r w:rsidRPr="00413B35">
              <w:rPr>
                <w:rFonts w:ascii="宋体" w:eastAsia="宋体" w:hAnsi="宋体"/>
                <w:b/>
                <w:bCs/>
                <w:sz w:val="24"/>
                <w:szCs w:val="24"/>
              </w:rPr>
              <w:t>提供帮助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参与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2022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级本科生迎新工作，开展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2022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级统计专业本科生新生宣讲会，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2019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级考研就业经验交流会、出国留学经验交流会、专业教育讲座。多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年来坚持为学生提供报考咨询、复习指导等帮助。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多方位了解最新就业招聘动态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，及时把相关招聘信息、考研调剂信息转发给毕业班同学并帮忙投简历。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与学院领导走访多家知名企业，并与西交一八九六</w:t>
            </w:r>
            <w:proofErr w:type="gramStart"/>
            <w:r w:rsidRPr="00413B35">
              <w:rPr>
                <w:rFonts w:ascii="宋体" w:eastAsia="宋体" w:hAnsi="宋体" w:hint="eastAsia"/>
                <w:sz w:val="24"/>
                <w:szCs w:val="24"/>
              </w:rPr>
              <w:t>科创服务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公司签订战略合作框架协议，成立企业实习基地。组织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24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名本科生和研究生前往实习基地进行考察，并参观访问了多家软件谷企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业，让学生近距离了解企业的发展状况。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2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四、刻苦钻研，勇毅前行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413B35">
              <w:rPr>
                <w:rFonts w:ascii="宋体" w:eastAsia="宋体" w:hAnsi="宋体"/>
                <w:b/>
                <w:bCs/>
                <w:sz w:val="24"/>
                <w:szCs w:val="24"/>
              </w:rPr>
              <w:t>教学工作</w:t>
            </w:r>
            <w:r w:rsidRPr="00413B35">
              <w:rPr>
                <w:rFonts w:ascii="宋体" w:eastAsia="宋体" w:hAnsi="宋体"/>
                <w:sz w:val="24"/>
                <w:szCs w:val="24"/>
              </w:rPr>
              <w:t>上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黄性芳同志先后承担了</w:t>
            </w:r>
            <w:proofErr w:type="gramStart"/>
            <w:r w:rsidRPr="00413B35">
              <w:rPr>
                <w:rFonts w:ascii="宋体" w:eastAsia="宋体" w:hAnsi="宋体"/>
                <w:sz w:val="24"/>
                <w:szCs w:val="24"/>
              </w:rPr>
              <w:t>”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  <w:proofErr w:type="gramStart"/>
            <w:r w:rsidRPr="00413B35">
              <w:rPr>
                <w:rFonts w:ascii="宋体" w:eastAsia="宋体" w:hAnsi="宋体"/>
                <w:sz w:val="24"/>
                <w:szCs w:val="24"/>
              </w:rPr>
              <w:t>”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proofErr w:type="gramStart"/>
            <w:r w:rsidRPr="00413B35">
              <w:rPr>
                <w:rFonts w:ascii="宋体" w:eastAsia="宋体" w:hAnsi="宋体"/>
                <w:sz w:val="24"/>
                <w:szCs w:val="24"/>
              </w:rPr>
              <w:t>”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概率论与数理统计</w:t>
            </w:r>
            <w:proofErr w:type="gramStart"/>
            <w:r w:rsidRPr="00413B35">
              <w:rPr>
                <w:rFonts w:ascii="宋体" w:eastAsia="宋体" w:hAnsi="宋体"/>
                <w:sz w:val="24"/>
                <w:szCs w:val="24"/>
              </w:rPr>
              <w:t>”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、专业课</w:t>
            </w:r>
            <w:proofErr w:type="gramStart"/>
            <w:r w:rsidRPr="00413B35">
              <w:rPr>
                <w:rFonts w:ascii="宋体" w:eastAsia="宋体" w:hAnsi="宋体"/>
                <w:sz w:val="24"/>
                <w:szCs w:val="24"/>
              </w:rPr>
              <w:t>”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统计软件与数据分析</w:t>
            </w:r>
            <w:proofErr w:type="gramStart"/>
            <w:r w:rsidRPr="00413B35">
              <w:rPr>
                <w:rFonts w:ascii="宋体" w:eastAsia="宋体" w:hAnsi="宋体"/>
                <w:sz w:val="24"/>
                <w:szCs w:val="24"/>
              </w:rPr>
              <w:t>”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、“经济跨专业综合实验”、“概率论”、“数理统计”，竞赛指导课“市场调查与统计分析（二）、（三）”等课程的教学工作。在统计学与经济统计学专业课程“统计软件与数据分析”的教学过程中，开展了以学生为主的课堂研讨课，鼓励学生利用统计方法解决课外实际数据，提高学生的动手能力和实践能力。从学生的参与情况，以及课题的完成情况来看，该课堂讨论</w:t>
            </w:r>
            <w:proofErr w:type="gramStart"/>
            <w:r w:rsidRPr="00413B35">
              <w:rPr>
                <w:rFonts w:ascii="宋体" w:eastAsia="宋体" w:hAnsi="宋体" w:hint="eastAsia"/>
                <w:sz w:val="24"/>
                <w:szCs w:val="24"/>
              </w:rPr>
              <w:t>课能够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发挥学生的积极性，增加学生对统计专业的学习兴趣，为学生提供了很好的创新与交流的平台，鼓励学生多思考，多发现问题。此外，黄性芳同志还担任了本科生指导教师、书院导师；指导本科生学年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论文、指导本科生毕业论文等工作，积极与学生谈心，引导学生，为学生毕业</w:t>
            </w:r>
            <w:proofErr w:type="gramStart"/>
            <w:r w:rsidRPr="00413B35">
              <w:rPr>
                <w:rFonts w:ascii="宋体" w:eastAsia="宋体" w:hAnsi="宋体" w:hint="eastAsia"/>
                <w:sz w:val="24"/>
                <w:szCs w:val="24"/>
              </w:rPr>
              <w:t>后规划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提供建议。黄性芳同志始终坚持实事求是的原则，耐心积极地与同学互相交流，了解他们的研究进展，帮助解决他们研究中遇到的困难，取得了很好的效果。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sz w:val="24"/>
                <w:szCs w:val="24"/>
              </w:rPr>
              <w:t>疫情期间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通过各种手段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与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学生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互动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，比如微信、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QQ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超星、</w:t>
            </w:r>
            <w:proofErr w:type="gramStart"/>
            <w:r w:rsidRPr="00413B35">
              <w:rPr>
                <w:rFonts w:ascii="宋体" w:eastAsia="宋体" w:hAnsi="宋体" w:hint="eastAsia"/>
                <w:sz w:val="24"/>
                <w:szCs w:val="24"/>
              </w:rPr>
              <w:t>慕课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等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。教学效果受到学生和相关老师的好评和认可。获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2019</w:t>
            </w:r>
            <w:proofErr w:type="gramStart"/>
            <w:r w:rsidRPr="00413B35">
              <w:rPr>
                <w:rFonts w:ascii="宋体" w:eastAsia="宋体" w:hAnsi="宋体" w:hint="eastAsia"/>
                <w:sz w:val="24"/>
                <w:szCs w:val="24"/>
              </w:rPr>
              <w:t>学年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南</w:t>
            </w:r>
            <w:proofErr w:type="gramEnd"/>
            <w:r w:rsidRPr="00413B35">
              <w:rPr>
                <w:rFonts w:ascii="宋体" w:eastAsia="宋体" w:hAnsi="宋体" w:hint="eastAsia"/>
                <w:sz w:val="24"/>
                <w:szCs w:val="24"/>
              </w:rPr>
              <w:t>审好课堂称号，获</w:t>
            </w:r>
            <w:r w:rsidRPr="00413B35">
              <w:rPr>
                <w:rFonts w:ascii="宋体" w:eastAsia="宋体" w:hAnsi="宋体" w:cs="Times New Roman"/>
                <w:sz w:val="24"/>
                <w:szCs w:val="24"/>
              </w:rPr>
              <w:t>南京审计大学</w:t>
            </w:r>
            <w:proofErr w:type="gramStart"/>
            <w:r w:rsidRPr="00413B35">
              <w:rPr>
                <w:rFonts w:ascii="宋体" w:eastAsia="宋体" w:hAnsi="宋体" w:cs="Times New Roman"/>
                <w:sz w:val="24"/>
                <w:szCs w:val="24"/>
              </w:rPr>
              <w:t>第六届微课教学</w:t>
            </w:r>
            <w:proofErr w:type="gramEnd"/>
            <w:r w:rsidRPr="00413B35">
              <w:rPr>
                <w:rFonts w:ascii="宋体" w:eastAsia="宋体" w:hAnsi="宋体" w:cs="Times New Roman"/>
                <w:sz w:val="24"/>
                <w:szCs w:val="24"/>
              </w:rPr>
              <w:t>比赛</w:t>
            </w:r>
            <w:r w:rsidRPr="00413B35">
              <w:rPr>
                <w:rFonts w:ascii="宋体" w:eastAsia="宋体" w:hAnsi="宋体" w:cs="Times New Roman" w:hint="eastAsia"/>
                <w:sz w:val="24"/>
                <w:szCs w:val="24"/>
              </w:rPr>
              <w:t>二</w:t>
            </w:r>
            <w:r w:rsidRPr="00413B35">
              <w:rPr>
                <w:rFonts w:ascii="宋体" w:eastAsia="宋体" w:hAnsi="宋体" w:cs="Times New Roman"/>
                <w:sz w:val="24"/>
                <w:szCs w:val="24"/>
              </w:rPr>
              <w:t>等奖</w:t>
            </w:r>
            <w:r w:rsidRPr="00413B35">
              <w:rPr>
                <w:rFonts w:ascii="宋体" w:eastAsia="宋体" w:hAnsi="宋体" w:cs="Times New Roman" w:hint="eastAsia"/>
                <w:sz w:val="24"/>
                <w:szCs w:val="24"/>
              </w:rPr>
              <w:t>。</w:t>
            </w:r>
            <w:r w:rsidRPr="00413B35">
              <w:rPr>
                <w:rFonts w:ascii="宋体" w:eastAsia="宋体" w:hAnsi="宋体" w:cs="Times New Roman"/>
                <w:sz w:val="24"/>
                <w:szCs w:val="24"/>
              </w:rPr>
              <w:t>主持</w:t>
            </w:r>
            <w:r w:rsidRPr="00413B35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  <w:r w:rsidRPr="00413B35">
              <w:rPr>
                <w:rFonts w:ascii="宋体" w:eastAsia="宋体" w:hAnsi="宋体" w:cs="Times New Roman"/>
                <w:sz w:val="24"/>
                <w:szCs w:val="24"/>
              </w:rPr>
              <w:t>项校级教改项目</w:t>
            </w:r>
            <w:r w:rsidRPr="00413B35">
              <w:rPr>
                <w:rFonts w:ascii="宋体" w:eastAsia="宋体" w:hAnsi="宋体" w:cs="Times New Roman" w:hint="eastAsia"/>
                <w:sz w:val="24"/>
                <w:szCs w:val="24"/>
              </w:rPr>
              <w:t>，</w:t>
            </w:r>
            <w:r w:rsidRPr="00413B35">
              <w:rPr>
                <w:rFonts w:ascii="宋体" w:eastAsia="宋体" w:hAnsi="宋体" w:cs="Times New Roman" w:hint="eastAsia"/>
                <w:sz w:val="24"/>
                <w:szCs w:val="24"/>
              </w:rPr>
              <w:t>担任“概率论与数理统计”课程组组长，负责“概率论”“统计软件与数据分析”等</w:t>
            </w:r>
            <w:proofErr w:type="gramStart"/>
            <w:r w:rsidRPr="00413B35">
              <w:rPr>
                <w:rFonts w:ascii="宋体" w:eastAsia="宋体" w:hAnsi="宋体" w:cs="Times New Roman" w:hint="eastAsia"/>
                <w:sz w:val="24"/>
                <w:szCs w:val="24"/>
              </w:rPr>
              <w:t>课程思政教学大纲</w:t>
            </w:r>
            <w:proofErr w:type="gramEnd"/>
            <w:r w:rsidRPr="00413B35">
              <w:rPr>
                <w:rFonts w:ascii="宋体" w:eastAsia="宋体" w:hAnsi="宋体" w:cs="Times New Roman" w:hint="eastAsia"/>
                <w:sz w:val="24"/>
                <w:szCs w:val="24"/>
              </w:rPr>
              <w:t>的修订</w:t>
            </w:r>
            <w:r w:rsidRPr="00413B35">
              <w:rPr>
                <w:rFonts w:ascii="宋体" w:eastAsia="宋体" w:hAnsi="宋体" w:cs="Times New Roman"/>
                <w:sz w:val="24"/>
                <w:szCs w:val="24"/>
              </w:rPr>
              <w:t>。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lastRenderedPageBreak/>
              <w:t>科研方面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，主持完成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国家自然科学基金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413B3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国家社会科学基金、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教育部人文社科基金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国家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统计局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项目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江苏省博士后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项目各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项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在国内外期刊上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发表论文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22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篇。担任中国现场统计研究会经济与金融分会理事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中国工程概率统计学会理事、副秘书长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中国统计教育学会高校分会理事、副秘书长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中国现场统计研究会资源与环境分会副秘书长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江苏省概率统计学会副秘书长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全国工业统计教学研究会数字经济与区块链技术协会理事、副秘书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长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获得第十五届江苏省统计科研优秀成果奖二等奖、三等奖。</w:t>
            </w:r>
          </w:p>
          <w:p w:rsidR="00033679" w:rsidRPr="00413B35" w:rsidRDefault="00FD052A" w:rsidP="00413B35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413B35">
              <w:rPr>
                <w:rFonts w:ascii="宋体" w:eastAsia="宋体" w:hAnsi="宋体" w:hint="eastAsia"/>
                <w:sz w:val="24"/>
                <w:szCs w:val="24"/>
              </w:rPr>
              <w:t>黄性芳</w:t>
            </w:r>
            <w:r w:rsidRPr="00413B35">
              <w:rPr>
                <w:rFonts w:ascii="宋体" w:eastAsia="宋体" w:hAnsi="宋体" w:hint="eastAsia"/>
                <w:sz w:val="24"/>
                <w:szCs w:val="24"/>
              </w:rPr>
              <w:t>同志始终坚守“为党育人、为国育才”初心，牢记“教书育人”使命。希望该同志能够再接再厉，进一步加强学习，严于律己，时刻牢记党的教导，继续加倍努力，提高自己的思想政治觉悟和业务技能水平，带领支部充分发挥战斗堡垒作用。</w:t>
            </w:r>
          </w:p>
          <w:p w:rsidR="00033679" w:rsidRPr="00413B35" w:rsidRDefault="00033679" w:rsidP="00413B35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3679">
        <w:trPr>
          <w:trHeight w:val="1785"/>
          <w:jc w:val="center"/>
        </w:trPr>
        <w:tc>
          <w:tcPr>
            <w:tcW w:w="9272" w:type="dxa"/>
            <w:gridSpan w:val="6"/>
            <w:vAlign w:val="center"/>
          </w:tcPr>
          <w:p w:rsidR="00033679" w:rsidRDefault="00FD052A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所在二级党组织意见</w:t>
            </w:r>
          </w:p>
          <w:p w:rsidR="00033679" w:rsidRDefault="00033679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  <w:p w:rsidR="00033679" w:rsidRDefault="00033679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033679" w:rsidRDefault="00033679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033679" w:rsidRDefault="00FD052A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盖章</w:t>
            </w:r>
          </w:p>
          <w:p w:rsidR="00033679" w:rsidRDefault="00FD052A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033679" w:rsidRDefault="00033679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</w:p>
    <w:sectPr w:rsidR="000336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52A" w:rsidRDefault="00FD052A">
      <w:r>
        <w:separator/>
      </w:r>
    </w:p>
  </w:endnote>
  <w:endnote w:type="continuationSeparator" w:id="0">
    <w:p w:rsidR="00FD052A" w:rsidRDefault="00FD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4A332638-8306-4B3D-91DD-A3FC87839F38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B9D8B566-DA22-45D2-A21E-2EA3DDC04825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79" w:rsidRDefault="000336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79" w:rsidRDefault="0003367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79" w:rsidRDefault="000336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52A" w:rsidRDefault="00FD052A">
      <w:r>
        <w:separator/>
      </w:r>
    </w:p>
  </w:footnote>
  <w:footnote w:type="continuationSeparator" w:id="0">
    <w:p w:rsidR="00FD052A" w:rsidRDefault="00FD0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79" w:rsidRDefault="0003367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79" w:rsidRDefault="00033679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79" w:rsidRDefault="0003367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5ZTNlMGI4ZjEzNjJlODNiMWNmODYxNjdhYzAxNGIifQ=="/>
  </w:docVars>
  <w:rsids>
    <w:rsidRoot w:val="00AE3DBA"/>
    <w:rsid w:val="00016D0E"/>
    <w:rsid w:val="00027160"/>
    <w:rsid w:val="00033679"/>
    <w:rsid w:val="00036762"/>
    <w:rsid w:val="0005461F"/>
    <w:rsid w:val="000600DA"/>
    <w:rsid w:val="00067D1F"/>
    <w:rsid w:val="000C5B2F"/>
    <w:rsid w:val="000D201C"/>
    <w:rsid w:val="00104400"/>
    <w:rsid w:val="00113D40"/>
    <w:rsid w:val="00132B23"/>
    <w:rsid w:val="00166CFB"/>
    <w:rsid w:val="001D6BF0"/>
    <w:rsid w:val="0020703C"/>
    <w:rsid w:val="00222C66"/>
    <w:rsid w:val="002433F6"/>
    <w:rsid w:val="00273202"/>
    <w:rsid w:val="002F7B1F"/>
    <w:rsid w:val="003007B3"/>
    <w:rsid w:val="00313A65"/>
    <w:rsid w:val="003367CC"/>
    <w:rsid w:val="003861E3"/>
    <w:rsid w:val="00397B15"/>
    <w:rsid w:val="00413B35"/>
    <w:rsid w:val="00456160"/>
    <w:rsid w:val="00466449"/>
    <w:rsid w:val="004B1B3D"/>
    <w:rsid w:val="004B628D"/>
    <w:rsid w:val="00510B5D"/>
    <w:rsid w:val="00514593"/>
    <w:rsid w:val="00555359"/>
    <w:rsid w:val="00586B7D"/>
    <w:rsid w:val="005B2EAC"/>
    <w:rsid w:val="005C2EE1"/>
    <w:rsid w:val="00601839"/>
    <w:rsid w:val="00636566"/>
    <w:rsid w:val="00671CAC"/>
    <w:rsid w:val="0068419C"/>
    <w:rsid w:val="00706531"/>
    <w:rsid w:val="007527CB"/>
    <w:rsid w:val="00754AAD"/>
    <w:rsid w:val="00782979"/>
    <w:rsid w:val="007B02C1"/>
    <w:rsid w:val="007F3BC0"/>
    <w:rsid w:val="008467B8"/>
    <w:rsid w:val="00852256"/>
    <w:rsid w:val="00882BFB"/>
    <w:rsid w:val="008A467D"/>
    <w:rsid w:val="0092074C"/>
    <w:rsid w:val="009470A0"/>
    <w:rsid w:val="009517D1"/>
    <w:rsid w:val="009E1282"/>
    <w:rsid w:val="00A25FEA"/>
    <w:rsid w:val="00A47F62"/>
    <w:rsid w:val="00AE3DBA"/>
    <w:rsid w:val="00AF3130"/>
    <w:rsid w:val="00AF42F5"/>
    <w:rsid w:val="00B234EE"/>
    <w:rsid w:val="00B31EC3"/>
    <w:rsid w:val="00B66BFB"/>
    <w:rsid w:val="00B73E37"/>
    <w:rsid w:val="00B9010C"/>
    <w:rsid w:val="00C65B41"/>
    <w:rsid w:val="00C94A51"/>
    <w:rsid w:val="00CC2984"/>
    <w:rsid w:val="00CE5127"/>
    <w:rsid w:val="00D31DDA"/>
    <w:rsid w:val="00D61ED4"/>
    <w:rsid w:val="00D6528B"/>
    <w:rsid w:val="00DC1A1C"/>
    <w:rsid w:val="00EB6FC8"/>
    <w:rsid w:val="00EE5DCE"/>
    <w:rsid w:val="00FC5474"/>
    <w:rsid w:val="00FD052A"/>
    <w:rsid w:val="00FE6AEE"/>
    <w:rsid w:val="02A35AD5"/>
    <w:rsid w:val="05AA4CB1"/>
    <w:rsid w:val="08542DA9"/>
    <w:rsid w:val="1DE63A32"/>
    <w:rsid w:val="2C6E5E3A"/>
    <w:rsid w:val="3A06303A"/>
    <w:rsid w:val="3A644A9D"/>
    <w:rsid w:val="430A3B9B"/>
    <w:rsid w:val="4E7B79BB"/>
    <w:rsid w:val="4F7D2092"/>
    <w:rsid w:val="5410069F"/>
    <w:rsid w:val="579E1D42"/>
    <w:rsid w:val="5842572D"/>
    <w:rsid w:val="5AE66844"/>
    <w:rsid w:val="66EA1469"/>
    <w:rsid w:val="697E40EB"/>
    <w:rsid w:val="6AA638F9"/>
    <w:rsid w:val="739509AF"/>
    <w:rsid w:val="74161AF0"/>
    <w:rsid w:val="7C80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D7245"/>
  <w15:docId w15:val="{4BCBEBD1-B610-44EC-AACC-75DAEE62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25FEA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25FE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408</Words>
  <Characters>2332</Characters>
  <Application>Microsoft Office Word</Application>
  <DocSecurity>0</DocSecurity>
  <Lines>19</Lines>
  <Paragraphs>5</Paragraphs>
  <ScaleCrop>false</ScaleCrop>
  <Company>YXQY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</dc:creator>
  <cp:lastModifiedBy>刘镇</cp:lastModifiedBy>
  <cp:revision>9</cp:revision>
  <cp:lastPrinted>2023-03-01T06:39:00Z</cp:lastPrinted>
  <dcterms:created xsi:type="dcterms:W3CDTF">2020-05-06T08:59:00Z</dcterms:created>
  <dcterms:modified xsi:type="dcterms:W3CDTF">2023-03-01T06:43:00Z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65070624306D4D1CB8AA6410B9779283</vt:lpwstr>
  </property>
</Properties>
</file>